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02C" w:rsidRDefault="009D3136" w:rsidP="009D3136">
      <w:pPr>
        <w:jc w:val="center"/>
      </w:pPr>
      <w:r>
        <w:rPr>
          <w:b/>
          <w:u w:val="single"/>
        </w:rPr>
        <w:t>FORMER BYLAWS &amp; STATUTES</w:t>
      </w:r>
    </w:p>
    <w:p w:rsidR="00FE1DF4" w:rsidRDefault="00FE1DF4"/>
    <w:p w:rsidR="00FE1DF4" w:rsidRPr="00FE1DF4" w:rsidRDefault="00FE1DF4" w:rsidP="00FE1DF4">
      <w:r w:rsidRPr="00FE1DF4">
        <w:rPr>
          <w:b/>
          <w:bCs/>
        </w:rPr>
        <w:t>B. Membership of the Senate</w:t>
      </w:r>
      <w:r w:rsidRPr="00FE1DF4">
        <w:t xml:space="preserve"> </w:t>
      </w:r>
    </w:p>
    <w:p w:rsidR="00FE1DF4" w:rsidRPr="00FE1DF4" w:rsidRDefault="00FE1DF4" w:rsidP="00FE1DF4">
      <w:r w:rsidRPr="00FE1DF4">
        <w:t>(07/00)</w:t>
      </w:r>
      <w:r w:rsidRPr="00FE1DF4">
        <w:br/>
        <w:t xml:space="preserve">1. The membership of the Senate shall consist of elected faculty members and ex officio members. The ex officio members of the Senate shall be the president, vice president for academic affairs, vice president for business and finance, and the vice president for student affairs. </w:t>
      </w:r>
      <w:r w:rsidRPr="00FE1DF4">
        <w:br/>
      </w:r>
      <w:r w:rsidRPr="00FE1DF4">
        <w:br/>
        <w:t>2. Elected Members</w:t>
      </w:r>
      <w:r w:rsidRPr="00FE1DF4">
        <w:br/>
      </w:r>
      <w:r w:rsidRPr="00FE1DF4">
        <w:br/>
        <w:t xml:space="preserve">a. Eligibility-All full-time members of the Faculty are eligible for membership. </w:t>
      </w:r>
      <w:r w:rsidRPr="00FE1DF4">
        <w:br/>
      </w:r>
      <w:r w:rsidRPr="00FE1DF4">
        <w:br/>
        <w:t>b. Election Units- The library and each college shall be entitled to the number of senators that corresponds to the number of full-time faculty members, using the following table:</w:t>
      </w:r>
    </w:p>
    <w:tbl>
      <w:tblPr>
        <w:tblW w:w="5000" w:type="pct"/>
        <w:tblCellSpacing w:w="15"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172"/>
        <w:gridCol w:w="6452"/>
      </w:tblGrid>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rPr>
                <w:b/>
                <w:bCs/>
              </w:rPr>
              <w:t>Senators</w:t>
            </w:r>
            <w:r w:rsidRPr="00FE1DF4">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rPr>
                <w:b/>
                <w:bCs/>
              </w:rPr>
              <w:t>Full-time Faculty Members</w:t>
            </w:r>
            <w:r w:rsidRPr="00FE1DF4">
              <w:t xml:space="preserve"> </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1-7</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8-22</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23-37</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38-52</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53-67</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68-82</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7</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83-97</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8</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98-112</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9</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113-127</w:t>
            </w:r>
          </w:p>
        </w:tc>
      </w:tr>
      <w:tr w:rsidR="00FE1DF4" w:rsidRPr="00FE1DF4" w:rsidTr="00FE1DF4">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10</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FE1DF4" w:rsidRPr="00FE1DF4" w:rsidRDefault="00FE1DF4" w:rsidP="00FE1DF4">
            <w:r w:rsidRPr="00FE1DF4">
              <w:t>128-142</w:t>
            </w:r>
          </w:p>
        </w:tc>
      </w:tr>
    </w:tbl>
    <w:p w:rsidR="00FE1DF4" w:rsidRDefault="00FE1DF4" w:rsidP="00FE1DF4">
      <w:r w:rsidRPr="00FE1DF4">
        <w:t xml:space="preserve">Subject to this apportionment, the faculty of each Election Unit may designate departmental or other Unit Constituencies for Senate representation. </w:t>
      </w:r>
      <w:r w:rsidRPr="00FE1DF4">
        <w:br/>
      </w:r>
      <w:r w:rsidRPr="00FE1DF4">
        <w:br/>
        <w:t xml:space="preserve">For purposes of providing for uniform rotation of Senate members, the term of any additional Senator to which an election unit shall become entitled will be specified by the Committee on Elections for the initial election to that seat. </w:t>
      </w:r>
      <w:r w:rsidRPr="00FE1DF4">
        <w:br/>
      </w:r>
      <w:r w:rsidRPr="00FE1DF4">
        <w:br/>
      </w:r>
    </w:p>
    <w:p w:rsidR="00FE1DF4" w:rsidRDefault="00FE1DF4">
      <w:r>
        <w:br w:type="page"/>
      </w:r>
    </w:p>
    <w:p w:rsidR="00FE1DF4" w:rsidRDefault="009D3136" w:rsidP="009D3136">
      <w:pPr>
        <w:jc w:val="center"/>
      </w:pPr>
      <w:r>
        <w:rPr>
          <w:b/>
          <w:u w:val="single"/>
        </w:rPr>
        <w:lastRenderedPageBreak/>
        <w:t>EXISTING BYLAWS &amp; STATUTES</w:t>
      </w:r>
      <w:r w:rsidR="00A054AB">
        <w:rPr>
          <w:b/>
          <w:u w:val="single"/>
        </w:rPr>
        <w:t xml:space="preserve"> WITH CHANGES</w:t>
      </w:r>
    </w:p>
    <w:p w:rsidR="00FE1DF4" w:rsidRDefault="00FE1DF4" w:rsidP="00FE1DF4"/>
    <w:p w:rsidR="001F76C7" w:rsidRDefault="001F76C7" w:rsidP="001F76C7">
      <w:pPr>
        <w:pStyle w:val="Default"/>
        <w:rPr>
          <w:sz w:val="22"/>
          <w:szCs w:val="22"/>
        </w:rPr>
      </w:pPr>
      <w:r>
        <w:rPr>
          <w:b/>
          <w:bCs/>
          <w:sz w:val="22"/>
          <w:szCs w:val="22"/>
        </w:rPr>
        <w:t xml:space="preserve">B. Membership of the Senate </w:t>
      </w:r>
    </w:p>
    <w:p w:rsidR="001F76C7" w:rsidRDefault="001F76C7" w:rsidP="001F76C7">
      <w:pPr>
        <w:pStyle w:val="Default"/>
        <w:rPr>
          <w:sz w:val="22"/>
          <w:szCs w:val="22"/>
        </w:rPr>
      </w:pPr>
      <w:r>
        <w:rPr>
          <w:sz w:val="22"/>
          <w:szCs w:val="22"/>
        </w:rPr>
        <w:t xml:space="preserve">1. The membership of the Senate shall consist of elected faculty members and non-voting ex officio members. The ex officio members of the Senate shall be the president, vice president for academic affairs, vice president for business and finance, and the vice president for student affairs. </w:t>
      </w:r>
    </w:p>
    <w:p w:rsidR="001F76C7" w:rsidRDefault="001F76C7" w:rsidP="001F76C7">
      <w:pPr>
        <w:pStyle w:val="Default"/>
        <w:rPr>
          <w:sz w:val="22"/>
          <w:szCs w:val="22"/>
        </w:rPr>
      </w:pPr>
      <w:r>
        <w:rPr>
          <w:sz w:val="22"/>
          <w:szCs w:val="22"/>
        </w:rPr>
        <w:t xml:space="preserve">2. Elected Members </w:t>
      </w:r>
    </w:p>
    <w:p w:rsidR="001F76C7" w:rsidRDefault="001F76C7" w:rsidP="001F76C7">
      <w:pPr>
        <w:pStyle w:val="Default"/>
        <w:rPr>
          <w:sz w:val="22"/>
          <w:szCs w:val="22"/>
        </w:rPr>
      </w:pPr>
      <w:r>
        <w:rPr>
          <w:sz w:val="22"/>
          <w:szCs w:val="22"/>
        </w:rPr>
        <w:t xml:space="preserve">a. Eligibility-All full-time members of the Faculty are eligible for membership. </w:t>
      </w:r>
    </w:p>
    <w:p w:rsidR="001F76C7" w:rsidRDefault="001F76C7" w:rsidP="001F76C7">
      <w:pPr>
        <w:pStyle w:val="Default"/>
        <w:rPr>
          <w:sz w:val="22"/>
          <w:szCs w:val="22"/>
        </w:rPr>
      </w:pPr>
      <w:r>
        <w:rPr>
          <w:sz w:val="22"/>
          <w:szCs w:val="22"/>
        </w:rPr>
        <w:t xml:space="preserve">b. Election Units- The library and each academic college shall be entitled to the number of senators that corresponds to the number of full-time faculty members, using the following: </w:t>
      </w:r>
    </w:p>
    <w:p w:rsidR="001F76C7" w:rsidRPr="002B18CA" w:rsidRDefault="001F76C7" w:rsidP="001F76C7">
      <w:pPr>
        <w:pStyle w:val="Default"/>
        <w:spacing w:after="27"/>
        <w:rPr>
          <w:strike/>
          <w:sz w:val="22"/>
          <w:szCs w:val="22"/>
        </w:rPr>
      </w:pPr>
      <w:r w:rsidRPr="002B18CA">
        <w:rPr>
          <w:strike/>
          <w:sz w:val="22"/>
          <w:szCs w:val="22"/>
        </w:rPr>
        <w:t xml:space="preserve"> For units with seven (7) or fewer faculty, one representative. </w:t>
      </w:r>
    </w:p>
    <w:p w:rsidR="001F76C7" w:rsidRPr="002B18CA" w:rsidRDefault="001F76C7" w:rsidP="001F76C7">
      <w:pPr>
        <w:pStyle w:val="Default"/>
        <w:rPr>
          <w:strike/>
          <w:sz w:val="22"/>
          <w:szCs w:val="22"/>
        </w:rPr>
      </w:pPr>
      <w:r w:rsidRPr="002B18CA">
        <w:rPr>
          <w:strike/>
          <w:sz w:val="22"/>
          <w:szCs w:val="22"/>
        </w:rPr>
        <w:t xml:space="preserve"> One additional representative for a unit for each 15 faculty members above seven (7). </w:t>
      </w:r>
    </w:p>
    <w:p w:rsidR="001F76C7" w:rsidRDefault="001F76C7" w:rsidP="001F76C7">
      <w:pPr>
        <w:pStyle w:val="Default"/>
        <w:rPr>
          <w:sz w:val="22"/>
          <w:szCs w:val="22"/>
        </w:rPr>
      </w:pPr>
    </w:p>
    <w:tbl>
      <w:tblPr>
        <w:tblW w:w="5000" w:type="pct"/>
        <w:tblCellSpacing w:w="15"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172"/>
        <w:gridCol w:w="6452"/>
      </w:tblGrid>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b/>
                <w:bCs/>
                <w:highlight w:val="yellow"/>
              </w:rPr>
              <w:t>Senators</w:t>
            </w:r>
            <w:r w:rsidRPr="00420424">
              <w:rPr>
                <w:highlight w:val="yellow"/>
              </w:rPr>
              <w:t xml:space="preserve"> </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b/>
                <w:bCs/>
                <w:highlight w:val="yellow"/>
              </w:rPr>
              <w:t>Full-time Faculty Members</w:t>
            </w:r>
            <w:r w:rsidRPr="00420424">
              <w:rPr>
                <w:highlight w:val="yellow"/>
              </w:rPr>
              <w:t xml:space="preserve"> </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1</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1-7</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2</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8-22</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3</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23-37</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4</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38-52</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5</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53-67</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6</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68-82</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7</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83-97</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8</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98-112</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9</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113-127</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10</w:t>
            </w:r>
          </w:p>
        </w:tc>
        <w:tc>
          <w:tcPr>
            <w:tcW w:w="0" w:type="auto"/>
            <w:tcBorders>
              <w:top w:val="outset" w:sz="6" w:space="0" w:color="FFFFFF"/>
              <w:left w:val="outset" w:sz="6" w:space="0" w:color="FFFFFF"/>
              <w:bottom w:val="outset" w:sz="6" w:space="0" w:color="FFFFFF"/>
              <w:right w:val="outset" w:sz="6" w:space="0" w:color="FFFFFF"/>
            </w:tcBorders>
            <w:vAlign w:val="center"/>
            <w:hideMark/>
          </w:tcPr>
          <w:p w:rsidR="002B18CA" w:rsidRPr="00420424" w:rsidRDefault="002B18CA" w:rsidP="007B771C">
            <w:pPr>
              <w:rPr>
                <w:highlight w:val="yellow"/>
              </w:rPr>
            </w:pPr>
            <w:r w:rsidRPr="00420424">
              <w:rPr>
                <w:highlight w:val="yellow"/>
              </w:rPr>
              <w:t>128-142</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tcPr>
          <w:p w:rsidR="002B18CA" w:rsidRPr="00420424" w:rsidRDefault="002B18CA" w:rsidP="007B771C">
            <w:pPr>
              <w:rPr>
                <w:highlight w:val="yellow"/>
              </w:rPr>
            </w:pPr>
            <w:r w:rsidRPr="00420424">
              <w:rPr>
                <w:highlight w:val="yellow"/>
              </w:rPr>
              <w:t>11</w:t>
            </w:r>
          </w:p>
        </w:tc>
        <w:tc>
          <w:tcPr>
            <w:tcW w:w="0" w:type="auto"/>
            <w:tcBorders>
              <w:top w:val="outset" w:sz="6" w:space="0" w:color="FFFFFF"/>
              <w:left w:val="outset" w:sz="6" w:space="0" w:color="FFFFFF"/>
              <w:bottom w:val="outset" w:sz="6" w:space="0" w:color="FFFFFF"/>
              <w:right w:val="outset" w:sz="6" w:space="0" w:color="FFFFFF"/>
            </w:tcBorders>
            <w:vAlign w:val="center"/>
          </w:tcPr>
          <w:p w:rsidR="002B18CA" w:rsidRPr="00420424" w:rsidRDefault="002B18CA" w:rsidP="007B771C">
            <w:pPr>
              <w:rPr>
                <w:highlight w:val="yellow"/>
              </w:rPr>
            </w:pPr>
            <w:r w:rsidRPr="00420424">
              <w:rPr>
                <w:highlight w:val="yellow"/>
              </w:rPr>
              <w:t>143-157</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tcPr>
          <w:p w:rsidR="002B18CA" w:rsidRPr="00420424" w:rsidRDefault="002B18CA" w:rsidP="007B771C">
            <w:pPr>
              <w:rPr>
                <w:highlight w:val="yellow"/>
              </w:rPr>
            </w:pPr>
            <w:r w:rsidRPr="00420424">
              <w:rPr>
                <w:highlight w:val="yellow"/>
              </w:rPr>
              <w:t>12</w:t>
            </w:r>
          </w:p>
        </w:tc>
        <w:tc>
          <w:tcPr>
            <w:tcW w:w="0" w:type="auto"/>
            <w:tcBorders>
              <w:top w:val="outset" w:sz="6" w:space="0" w:color="FFFFFF"/>
              <w:left w:val="outset" w:sz="6" w:space="0" w:color="FFFFFF"/>
              <w:bottom w:val="outset" w:sz="6" w:space="0" w:color="FFFFFF"/>
              <w:right w:val="outset" w:sz="6" w:space="0" w:color="FFFFFF"/>
            </w:tcBorders>
            <w:vAlign w:val="center"/>
          </w:tcPr>
          <w:p w:rsidR="002B18CA" w:rsidRPr="00420424" w:rsidRDefault="002B18CA" w:rsidP="007B771C">
            <w:pPr>
              <w:rPr>
                <w:highlight w:val="yellow"/>
              </w:rPr>
            </w:pPr>
            <w:r w:rsidRPr="00420424">
              <w:rPr>
                <w:highlight w:val="yellow"/>
              </w:rPr>
              <w:t>158-172</w:t>
            </w:r>
          </w:p>
        </w:tc>
      </w:tr>
      <w:tr w:rsidR="002B18CA" w:rsidRPr="00FE1DF4" w:rsidTr="007B771C">
        <w:trPr>
          <w:tblCellSpacing w:w="15" w:type="dxa"/>
        </w:trPr>
        <w:tc>
          <w:tcPr>
            <w:tcW w:w="0" w:type="auto"/>
            <w:tcBorders>
              <w:top w:val="outset" w:sz="6" w:space="0" w:color="FFFFFF"/>
              <w:left w:val="outset" w:sz="6" w:space="0" w:color="FFFFFF"/>
              <w:bottom w:val="outset" w:sz="6" w:space="0" w:color="FFFFFF"/>
              <w:right w:val="outset" w:sz="6" w:space="0" w:color="FFFFFF"/>
            </w:tcBorders>
            <w:vAlign w:val="center"/>
          </w:tcPr>
          <w:p w:rsidR="002B18CA" w:rsidRPr="00420424" w:rsidRDefault="002B18CA" w:rsidP="007B771C">
            <w:pPr>
              <w:rPr>
                <w:highlight w:val="yellow"/>
              </w:rPr>
            </w:pPr>
            <w:r w:rsidRPr="00420424">
              <w:rPr>
                <w:highlight w:val="yellow"/>
              </w:rPr>
              <w:t>13</w:t>
            </w:r>
          </w:p>
        </w:tc>
        <w:tc>
          <w:tcPr>
            <w:tcW w:w="0" w:type="auto"/>
            <w:tcBorders>
              <w:top w:val="outset" w:sz="6" w:space="0" w:color="FFFFFF"/>
              <w:left w:val="outset" w:sz="6" w:space="0" w:color="FFFFFF"/>
              <w:bottom w:val="outset" w:sz="6" w:space="0" w:color="FFFFFF"/>
              <w:right w:val="outset" w:sz="6" w:space="0" w:color="FFFFFF"/>
            </w:tcBorders>
            <w:vAlign w:val="center"/>
          </w:tcPr>
          <w:p w:rsidR="002B18CA" w:rsidRPr="00420424" w:rsidRDefault="002B18CA" w:rsidP="007B771C">
            <w:pPr>
              <w:rPr>
                <w:highlight w:val="yellow"/>
              </w:rPr>
            </w:pPr>
            <w:r w:rsidRPr="00420424">
              <w:rPr>
                <w:highlight w:val="yellow"/>
              </w:rPr>
              <w:t>173-187</w:t>
            </w:r>
            <w:bookmarkStart w:id="0" w:name="_GoBack"/>
            <w:bookmarkEnd w:id="0"/>
          </w:p>
        </w:tc>
      </w:tr>
    </w:tbl>
    <w:p w:rsidR="002B18CA" w:rsidRDefault="002B18CA" w:rsidP="001F76C7">
      <w:pPr>
        <w:rPr>
          <w:sz w:val="22"/>
          <w:szCs w:val="22"/>
        </w:rPr>
      </w:pPr>
    </w:p>
    <w:p w:rsidR="00461D6F" w:rsidRDefault="00A054AB" w:rsidP="001F76C7">
      <w:pPr>
        <w:rPr>
          <w:sz w:val="22"/>
          <w:szCs w:val="22"/>
        </w:rPr>
      </w:pPr>
      <w:r>
        <w:rPr>
          <w:sz w:val="22"/>
          <w:szCs w:val="22"/>
          <w:highlight w:val="yellow"/>
        </w:rPr>
        <w:t xml:space="preserve">All </w:t>
      </w:r>
      <w:r w:rsidR="00866F8D">
        <w:rPr>
          <w:sz w:val="22"/>
          <w:szCs w:val="22"/>
          <w:highlight w:val="yellow"/>
        </w:rPr>
        <w:t xml:space="preserve">election </w:t>
      </w:r>
      <w:r>
        <w:rPr>
          <w:sz w:val="22"/>
          <w:szCs w:val="22"/>
          <w:highlight w:val="yellow"/>
        </w:rPr>
        <w:t>units will</w:t>
      </w:r>
      <w:r w:rsidR="002B18CA" w:rsidRPr="002B18CA">
        <w:rPr>
          <w:sz w:val="22"/>
          <w:szCs w:val="22"/>
          <w:highlight w:val="yellow"/>
        </w:rPr>
        <w:t xml:space="preserve"> elect</w:t>
      </w:r>
      <w:r w:rsidR="00461D6F">
        <w:rPr>
          <w:sz w:val="22"/>
          <w:szCs w:val="22"/>
          <w:highlight w:val="yellow"/>
        </w:rPr>
        <w:t xml:space="preserve"> at least</w:t>
      </w:r>
      <w:r w:rsidR="002B18CA" w:rsidRPr="002B18CA">
        <w:rPr>
          <w:sz w:val="22"/>
          <w:szCs w:val="22"/>
          <w:highlight w:val="yellow"/>
        </w:rPr>
        <w:t xml:space="preserve"> 1 (one) alternate senator</w:t>
      </w:r>
      <w:r>
        <w:rPr>
          <w:sz w:val="22"/>
          <w:szCs w:val="22"/>
          <w:highlight w:val="yellow"/>
        </w:rPr>
        <w:t xml:space="preserve"> to serve in the event that a senator cannot fulfill his/her duties</w:t>
      </w:r>
      <w:r w:rsidR="00461D6F">
        <w:rPr>
          <w:sz w:val="22"/>
          <w:szCs w:val="22"/>
          <w:highlight w:val="yellow"/>
        </w:rPr>
        <w:t xml:space="preserve"> </w:t>
      </w:r>
      <w:r w:rsidR="00461D6F" w:rsidRPr="00113A57">
        <w:rPr>
          <w:iCs/>
          <w:highlight w:val="yellow"/>
        </w:rPr>
        <w:t>(e.g., due to tra</w:t>
      </w:r>
      <w:r w:rsidR="00461D6F">
        <w:rPr>
          <w:iCs/>
          <w:highlight w:val="yellow"/>
        </w:rPr>
        <w:t>vel, sickness, etc.</w:t>
      </w:r>
      <w:r w:rsidR="00461D6F" w:rsidRPr="00113A57">
        <w:rPr>
          <w:iCs/>
          <w:highlight w:val="yellow"/>
        </w:rPr>
        <w:t>)</w:t>
      </w:r>
      <w:r w:rsidR="002B18CA" w:rsidRPr="00113A57">
        <w:rPr>
          <w:sz w:val="22"/>
          <w:szCs w:val="22"/>
          <w:highlight w:val="yellow"/>
        </w:rPr>
        <w:t>.</w:t>
      </w:r>
      <w:r w:rsidR="00113A57" w:rsidRPr="00113A57">
        <w:rPr>
          <w:sz w:val="22"/>
          <w:szCs w:val="22"/>
          <w:highlight w:val="yellow"/>
        </w:rPr>
        <w:t xml:space="preserve"> </w:t>
      </w:r>
      <w:r w:rsidR="00113A57">
        <w:rPr>
          <w:sz w:val="22"/>
          <w:szCs w:val="22"/>
          <w:highlight w:val="yellow"/>
        </w:rPr>
        <w:t xml:space="preserve"> </w:t>
      </w:r>
      <w:r w:rsidR="00113A57" w:rsidRPr="00113A57">
        <w:rPr>
          <w:iCs/>
          <w:highlight w:val="yellow"/>
        </w:rPr>
        <w:t>Alternate senators shall attend and have voting rights in only those meetings that a faculty senator from the same unit is unable to attend. Alternates may attend for different senators from the same unit at different meetings as the need arises, but shall be limited to voting only on behalf of the single senator for whom they are attending during that meeting.</w:t>
      </w:r>
      <w:r w:rsidR="00461D6F">
        <w:rPr>
          <w:sz w:val="22"/>
          <w:szCs w:val="22"/>
        </w:rPr>
        <w:t xml:space="preserve">  </w:t>
      </w:r>
    </w:p>
    <w:p w:rsidR="00461D6F" w:rsidRDefault="00461D6F" w:rsidP="001F76C7">
      <w:pPr>
        <w:rPr>
          <w:sz w:val="22"/>
          <w:szCs w:val="22"/>
        </w:rPr>
      </w:pPr>
    </w:p>
    <w:p w:rsidR="002B18CA" w:rsidRDefault="00461D6F" w:rsidP="001F76C7">
      <w:pPr>
        <w:rPr>
          <w:sz w:val="22"/>
          <w:szCs w:val="22"/>
        </w:rPr>
      </w:pPr>
      <w:r w:rsidRPr="00461D6F">
        <w:rPr>
          <w:sz w:val="22"/>
          <w:szCs w:val="22"/>
          <w:highlight w:val="yellow"/>
        </w:rPr>
        <w:t xml:space="preserve">An interim senator may be </w:t>
      </w:r>
      <w:r w:rsidR="00F82136">
        <w:rPr>
          <w:sz w:val="22"/>
          <w:szCs w:val="22"/>
          <w:highlight w:val="yellow"/>
        </w:rPr>
        <w:t>elected</w:t>
      </w:r>
      <w:r w:rsidRPr="00461D6F">
        <w:rPr>
          <w:sz w:val="22"/>
          <w:szCs w:val="22"/>
          <w:highlight w:val="yellow"/>
        </w:rPr>
        <w:t xml:space="preserve"> in the event a senator will be unable to fulfill his/her duties for a prolonged period of time (i.e., sabbatical, prolonged hospitalization, etc).  </w:t>
      </w:r>
      <w:r w:rsidRPr="00461D6F">
        <w:rPr>
          <w:iCs/>
          <w:highlight w:val="yellow"/>
        </w:rPr>
        <w:t>I</w:t>
      </w:r>
      <w:r>
        <w:rPr>
          <w:iCs/>
          <w:highlight w:val="yellow"/>
        </w:rPr>
        <w:t>nterim</w:t>
      </w:r>
      <w:r w:rsidRPr="00113A57">
        <w:rPr>
          <w:iCs/>
          <w:highlight w:val="yellow"/>
        </w:rPr>
        <w:t xml:space="preserve"> senators shall attend and have voting rights</w:t>
      </w:r>
      <w:r w:rsidR="00F82136">
        <w:rPr>
          <w:iCs/>
          <w:highlight w:val="yellow"/>
        </w:rPr>
        <w:t xml:space="preserve"> only</w:t>
      </w:r>
      <w:r w:rsidRPr="00113A57">
        <w:rPr>
          <w:iCs/>
          <w:highlight w:val="yellow"/>
        </w:rPr>
        <w:t xml:space="preserve"> </w:t>
      </w:r>
      <w:r w:rsidR="00F82136">
        <w:rPr>
          <w:iCs/>
          <w:highlight w:val="yellow"/>
        </w:rPr>
        <w:t>during the period of time</w:t>
      </w:r>
      <w:r w:rsidRPr="00113A57">
        <w:rPr>
          <w:iCs/>
          <w:highlight w:val="yellow"/>
        </w:rPr>
        <w:t xml:space="preserve"> </w:t>
      </w:r>
      <w:r w:rsidR="00F82136">
        <w:rPr>
          <w:iCs/>
          <w:highlight w:val="yellow"/>
        </w:rPr>
        <w:t>in which</w:t>
      </w:r>
      <w:r w:rsidRPr="00113A57">
        <w:rPr>
          <w:iCs/>
          <w:highlight w:val="yellow"/>
        </w:rPr>
        <w:t xml:space="preserve"> </w:t>
      </w:r>
      <w:r>
        <w:rPr>
          <w:iCs/>
          <w:highlight w:val="yellow"/>
        </w:rPr>
        <w:t>the same</w:t>
      </w:r>
      <w:r w:rsidRPr="00113A57">
        <w:rPr>
          <w:iCs/>
          <w:highlight w:val="yellow"/>
        </w:rPr>
        <w:t xml:space="preserve"> faculty </w:t>
      </w:r>
      <w:r>
        <w:rPr>
          <w:iCs/>
          <w:highlight w:val="yellow"/>
        </w:rPr>
        <w:t xml:space="preserve">senator </w:t>
      </w:r>
      <w:r w:rsidRPr="00113A57">
        <w:rPr>
          <w:iCs/>
          <w:highlight w:val="yellow"/>
        </w:rPr>
        <w:t xml:space="preserve">is unable to attend. </w:t>
      </w:r>
      <w:r w:rsidR="00F82136">
        <w:rPr>
          <w:iCs/>
          <w:highlight w:val="yellow"/>
        </w:rPr>
        <w:t>Interim senators</w:t>
      </w:r>
      <w:r w:rsidRPr="00113A57">
        <w:rPr>
          <w:iCs/>
          <w:highlight w:val="yellow"/>
        </w:rPr>
        <w:t xml:space="preserve"> may attend </w:t>
      </w:r>
      <w:r w:rsidR="00F82136">
        <w:rPr>
          <w:iCs/>
          <w:highlight w:val="yellow"/>
        </w:rPr>
        <w:t xml:space="preserve">only on behalf of the senator in which he/she is serving as interim.   </w:t>
      </w:r>
    </w:p>
    <w:p w:rsidR="002B18CA" w:rsidRDefault="002B18CA" w:rsidP="001F76C7">
      <w:pPr>
        <w:rPr>
          <w:sz w:val="22"/>
          <w:szCs w:val="22"/>
        </w:rPr>
      </w:pPr>
    </w:p>
    <w:sectPr w:rsidR="002B18C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C8A" w:rsidRDefault="00167C8A" w:rsidP="00FE1DF4">
      <w:r>
        <w:separator/>
      </w:r>
    </w:p>
  </w:endnote>
  <w:endnote w:type="continuationSeparator" w:id="0">
    <w:p w:rsidR="00167C8A" w:rsidRDefault="00167C8A" w:rsidP="00FE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7C" w:rsidRDefault="009915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905343"/>
      <w:docPartObj>
        <w:docPartGallery w:val="Page Numbers (Bottom of Page)"/>
        <w:docPartUnique/>
      </w:docPartObj>
    </w:sdtPr>
    <w:sdtEndPr>
      <w:rPr>
        <w:noProof/>
      </w:rPr>
    </w:sdtEndPr>
    <w:sdtContent>
      <w:p w:rsidR="00FE1DF4" w:rsidRDefault="00FE1DF4">
        <w:pPr>
          <w:pStyle w:val="Footer"/>
          <w:jc w:val="right"/>
        </w:pPr>
        <w:r>
          <w:fldChar w:fldCharType="begin"/>
        </w:r>
        <w:r>
          <w:instrText xml:space="preserve"> PAGE   \* MERGEFORMAT </w:instrText>
        </w:r>
        <w:r>
          <w:fldChar w:fldCharType="separate"/>
        </w:r>
        <w:r w:rsidR="00420424">
          <w:rPr>
            <w:noProof/>
          </w:rPr>
          <w:t>2</w:t>
        </w:r>
        <w:r>
          <w:rPr>
            <w:noProof/>
          </w:rPr>
          <w:fldChar w:fldCharType="end"/>
        </w:r>
      </w:p>
    </w:sdtContent>
  </w:sdt>
  <w:p w:rsidR="00FE1DF4" w:rsidRDefault="00FE1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7C" w:rsidRDefault="009915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C8A" w:rsidRDefault="00167C8A" w:rsidP="00FE1DF4">
      <w:r>
        <w:separator/>
      </w:r>
    </w:p>
  </w:footnote>
  <w:footnote w:type="continuationSeparator" w:id="0">
    <w:p w:rsidR="00167C8A" w:rsidRDefault="00167C8A" w:rsidP="00FE1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7C" w:rsidRDefault="009915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932344"/>
      <w:docPartObj>
        <w:docPartGallery w:val="Watermarks"/>
        <w:docPartUnique/>
      </w:docPartObj>
    </w:sdtPr>
    <w:sdtEndPr/>
    <w:sdtContent>
      <w:p w:rsidR="0099157C" w:rsidRDefault="00167C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57C" w:rsidRDefault="009915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B7832"/>
    <w:multiLevelType w:val="multilevel"/>
    <w:tmpl w:val="BE9C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F4"/>
    <w:rsid w:val="00113A57"/>
    <w:rsid w:val="00167C8A"/>
    <w:rsid w:val="001F76C7"/>
    <w:rsid w:val="002B18CA"/>
    <w:rsid w:val="00375A4D"/>
    <w:rsid w:val="003B47D9"/>
    <w:rsid w:val="00420424"/>
    <w:rsid w:val="00461D6F"/>
    <w:rsid w:val="0065702C"/>
    <w:rsid w:val="00866F8D"/>
    <w:rsid w:val="0099157C"/>
    <w:rsid w:val="009D3136"/>
    <w:rsid w:val="00A054AB"/>
    <w:rsid w:val="00B0534D"/>
    <w:rsid w:val="00B32F9B"/>
    <w:rsid w:val="00CA6EA9"/>
    <w:rsid w:val="00E31189"/>
    <w:rsid w:val="00F82136"/>
    <w:rsid w:val="00FE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361DE4-4178-4315-8203-28BEDAC01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1DF4"/>
    <w:pPr>
      <w:tabs>
        <w:tab w:val="center" w:pos="4680"/>
        <w:tab w:val="right" w:pos="9360"/>
      </w:tabs>
    </w:pPr>
  </w:style>
  <w:style w:type="character" w:customStyle="1" w:styleId="HeaderChar">
    <w:name w:val="Header Char"/>
    <w:basedOn w:val="DefaultParagraphFont"/>
    <w:link w:val="Header"/>
    <w:rsid w:val="00FE1DF4"/>
    <w:rPr>
      <w:sz w:val="24"/>
      <w:szCs w:val="24"/>
    </w:rPr>
  </w:style>
  <w:style w:type="paragraph" w:styleId="Footer">
    <w:name w:val="footer"/>
    <w:basedOn w:val="Normal"/>
    <w:link w:val="FooterChar"/>
    <w:uiPriority w:val="99"/>
    <w:rsid w:val="00FE1DF4"/>
    <w:pPr>
      <w:tabs>
        <w:tab w:val="center" w:pos="4680"/>
        <w:tab w:val="right" w:pos="9360"/>
      </w:tabs>
    </w:pPr>
  </w:style>
  <w:style w:type="character" w:customStyle="1" w:styleId="FooterChar">
    <w:name w:val="Footer Char"/>
    <w:basedOn w:val="DefaultParagraphFont"/>
    <w:link w:val="Footer"/>
    <w:uiPriority w:val="99"/>
    <w:rsid w:val="00FE1DF4"/>
    <w:rPr>
      <w:sz w:val="24"/>
      <w:szCs w:val="24"/>
    </w:rPr>
  </w:style>
  <w:style w:type="paragraph" w:styleId="BalloonText">
    <w:name w:val="Balloon Text"/>
    <w:basedOn w:val="Normal"/>
    <w:link w:val="BalloonTextChar"/>
    <w:rsid w:val="001F76C7"/>
    <w:rPr>
      <w:rFonts w:ascii="Segoe UI" w:hAnsi="Segoe UI" w:cs="Segoe UI"/>
      <w:sz w:val="18"/>
      <w:szCs w:val="18"/>
    </w:rPr>
  </w:style>
  <w:style w:type="character" w:customStyle="1" w:styleId="BalloonTextChar">
    <w:name w:val="Balloon Text Char"/>
    <w:basedOn w:val="DefaultParagraphFont"/>
    <w:link w:val="BalloonText"/>
    <w:rsid w:val="001F76C7"/>
    <w:rPr>
      <w:rFonts w:ascii="Segoe UI" w:hAnsi="Segoe UI" w:cs="Segoe UI"/>
      <w:sz w:val="18"/>
      <w:szCs w:val="18"/>
    </w:rPr>
  </w:style>
  <w:style w:type="paragraph" w:customStyle="1" w:styleId="Default">
    <w:name w:val="Default"/>
    <w:rsid w:val="001F76C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6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dc:creator>
  <cp:keywords/>
  <dc:description/>
  <cp:lastModifiedBy>Tyo</cp:lastModifiedBy>
  <cp:revision>2</cp:revision>
  <cp:lastPrinted>2015-08-17T13:24:00Z</cp:lastPrinted>
  <dcterms:created xsi:type="dcterms:W3CDTF">2016-01-29T09:46:00Z</dcterms:created>
  <dcterms:modified xsi:type="dcterms:W3CDTF">2016-01-29T09:46:00Z</dcterms:modified>
</cp:coreProperties>
</file>